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1D08AA" w14:textId="3289CA2F" w:rsidR="009C3B55" w:rsidRPr="00B9325C" w:rsidRDefault="009C3B55" w:rsidP="000771B9">
      <w:pPr>
        <w:jc w:val="center"/>
        <w:rPr>
          <w:rFonts w:cs="Times New Roman"/>
        </w:rPr>
      </w:pPr>
    </w:p>
    <w:p w14:paraId="6B1E3D18" w14:textId="021AC1A0" w:rsidR="000771B9" w:rsidRPr="00B9325C" w:rsidRDefault="000771B9" w:rsidP="000771B9">
      <w:pPr>
        <w:jc w:val="center"/>
        <w:rPr>
          <w:rFonts w:cs="Times New Roman"/>
        </w:rPr>
      </w:pPr>
    </w:p>
    <w:p w14:paraId="5782CCFF" w14:textId="4FFF437B" w:rsidR="000771B9" w:rsidRPr="00B9325C" w:rsidRDefault="000771B9" w:rsidP="000771B9">
      <w:pPr>
        <w:jc w:val="center"/>
        <w:rPr>
          <w:rFonts w:cs="Times New Roman"/>
        </w:rPr>
      </w:pPr>
    </w:p>
    <w:p w14:paraId="0ECCA54C" w14:textId="17DB2B4C" w:rsidR="000771B9" w:rsidRPr="00B9325C" w:rsidRDefault="00232A6E" w:rsidP="000771B9">
      <w:pPr>
        <w:jc w:val="center"/>
        <w:rPr>
          <w:rFonts w:cs="Times New Roman"/>
          <w:b/>
          <w:bCs/>
        </w:rPr>
      </w:pPr>
      <w:r w:rsidRPr="00B9325C">
        <w:rPr>
          <w:rFonts w:cs="Times New Roman"/>
          <w:b/>
          <w:bCs/>
        </w:rPr>
        <w:t>Different EHRs: Hospital and Ambulatory</w:t>
      </w:r>
    </w:p>
    <w:p w14:paraId="4E18B316" w14:textId="249B40D7" w:rsidR="000771B9" w:rsidRPr="00B9325C" w:rsidRDefault="000771B9" w:rsidP="000771B9">
      <w:pPr>
        <w:jc w:val="center"/>
        <w:rPr>
          <w:rFonts w:cs="Times New Roman"/>
          <w:b/>
          <w:bCs/>
        </w:rPr>
      </w:pPr>
    </w:p>
    <w:p w14:paraId="73133685" w14:textId="431F71EB" w:rsidR="000771B9" w:rsidRPr="00B9325C" w:rsidRDefault="000771B9" w:rsidP="000771B9">
      <w:pPr>
        <w:jc w:val="center"/>
        <w:rPr>
          <w:rFonts w:cs="Times New Roman"/>
          <w:b/>
          <w:bCs/>
        </w:rPr>
      </w:pPr>
    </w:p>
    <w:p w14:paraId="286229E7" w14:textId="009F5CDA" w:rsidR="000771B9" w:rsidRPr="00B9325C" w:rsidRDefault="00232A6E" w:rsidP="000771B9">
      <w:pPr>
        <w:jc w:val="center"/>
        <w:rPr>
          <w:rFonts w:cs="Times New Roman"/>
        </w:rPr>
      </w:pPr>
      <w:r w:rsidRPr="00B9325C">
        <w:rPr>
          <w:rFonts w:cs="Times New Roman"/>
        </w:rPr>
        <w:t>Name</w:t>
      </w:r>
    </w:p>
    <w:p w14:paraId="10A6F39E" w14:textId="103179B7" w:rsidR="000771B9" w:rsidRPr="00B9325C" w:rsidRDefault="00232A6E" w:rsidP="000771B9">
      <w:pPr>
        <w:jc w:val="center"/>
        <w:rPr>
          <w:rFonts w:cs="Times New Roman"/>
        </w:rPr>
      </w:pPr>
      <w:r w:rsidRPr="00B9325C">
        <w:rPr>
          <w:rFonts w:cs="Times New Roman"/>
        </w:rPr>
        <w:t>Affiliation</w:t>
      </w:r>
    </w:p>
    <w:p w14:paraId="047CD281" w14:textId="5880259D" w:rsidR="000771B9" w:rsidRPr="00B9325C" w:rsidRDefault="00232A6E" w:rsidP="000771B9">
      <w:pPr>
        <w:jc w:val="center"/>
        <w:rPr>
          <w:rFonts w:cs="Times New Roman"/>
        </w:rPr>
      </w:pPr>
      <w:r w:rsidRPr="00B9325C">
        <w:rPr>
          <w:rFonts w:cs="Times New Roman"/>
        </w:rPr>
        <w:t>Date</w:t>
      </w:r>
    </w:p>
    <w:p w14:paraId="50F05774" w14:textId="472FD0D3" w:rsidR="000771B9" w:rsidRPr="00B9325C" w:rsidRDefault="000771B9" w:rsidP="000771B9">
      <w:pPr>
        <w:jc w:val="center"/>
        <w:rPr>
          <w:rFonts w:cs="Times New Roman"/>
        </w:rPr>
      </w:pPr>
    </w:p>
    <w:p w14:paraId="106B11DC" w14:textId="7698EB47" w:rsidR="000771B9" w:rsidRPr="00B9325C" w:rsidRDefault="000771B9" w:rsidP="000771B9">
      <w:pPr>
        <w:jc w:val="center"/>
        <w:rPr>
          <w:rFonts w:cs="Times New Roman"/>
        </w:rPr>
      </w:pPr>
    </w:p>
    <w:p w14:paraId="6386F222" w14:textId="4B03FF8E" w:rsidR="000771B9" w:rsidRPr="00B9325C" w:rsidRDefault="000771B9" w:rsidP="000771B9">
      <w:pPr>
        <w:jc w:val="center"/>
        <w:rPr>
          <w:rFonts w:cs="Times New Roman"/>
        </w:rPr>
      </w:pPr>
    </w:p>
    <w:p w14:paraId="736FD86E" w14:textId="24CED8BE" w:rsidR="000771B9" w:rsidRPr="00B9325C" w:rsidRDefault="000771B9" w:rsidP="000771B9">
      <w:pPr>
        <w:jc w:val="center"/>
        <w:rPr>
          <w:rFonts w:cs="Times New Roman"/>
        </w:rPr>
      </w:pPr>
    </w:p>
    <w:p w14:paraId="2E5DB057" w14:textId="5B42BFBD" w:rsidR="000771B9" w:rsidRPr="00B9325C" w:rsidRDefault="000771B9" w:rsidP="000771B9">
      <w:pPr>
        <w:jc w:val="center"/>
        <w:rPr>
          <w:rFonts w:cs="Times New Roman"/>
        </w:rPr>
      </w:pPr>
    </w:p>
    <w:p w14:paraId="2AC2901A" w14:textId="051EF224" w:rsidR="000771B9" w:rsidRPr="00B9325C" w:rsidRDefault="000771B9" w:rsidP="000771B9">
      <w:pPr>
        <w:jc w:val="center"/>
        <w:rPr>
          <w:rFonts w:cs="Times New Roman"/>
        </w:rPr>
      </w:pPr>
    </w:p>
    <w:p w14:paraId="0F3C0781" w14:textId="0CF88ABA" w:rsidR="000771B9" w:rsidRPr="00B9325C" w:rsidRDefault="000771B9" w:rsidP="000771B9">
      <w:pPr>
        <w:jc w:val="center"/>
        <w:rPr>
          <w:rFonts w:cs="Times New Roman"/>
        </w:rPr>
      </w:pPr>
    </w:p>
    <w:p w14:paraId="35EEB127" w14:textId="210EE5C2" w:rsidR="000771B9" w:rsidRPr="00B9325C" w:rsidRDefault="000771B9" w:rsidP="000771B9">
      <w:pPr>
        <w:jc w:val="center"/>
        <w:rPr>
          <w:rFonts w:cs="Times New Roman"/>
        </w:rPr>
      </w:pPr>
    </w:p>
    <w:p w14:paraId="53910CFB" w14:textId="7EABDA4A" w:rsidR="000771B9" w:rsidRPr="00B9325C" w:rsidRDefault="000771B9" w:rsidP="000771B9">
      <w:pPr>
        <w:jc w:val="center"/>
        <w:rPr>
          <w:rFonts w:cs="Times New Roman"/>
        </w:rPr>
      </w:pPr>
    </w:p>
    <w:p w14:paraId="21E2324F" w14:textId="7DB0CA0D" w:rsidR="000771B9" w:rsidRPr="00B9325C" w:rsidRDefault="000771B9" w:rsidP="000771B9">
      <w:pPr>
        <w:jc w:val="center"/>
        <w:rPr>
          <w:rFonts w:cs="Times New Roman"/>
        </w:rPr>
      </w:pPr>
    </w:p>
    <w:p w14:paraId="02444E43" w14:textId="117B056F" w:rsidR="000771B9" w:rsidRPr="00B9325C" w:rsidRDefault="000771B9" w:rsidP="000771B9">
      <w:pPr>
        <w:jc w:val="center"/>
        <w:rPr>
          <w:rFonts w:cs="Times New Roman"/>
        </w:rPr>
      </w:pPr>
    </w:p>
    <w:p w14:paraId="378C236E" w14:textId="163814F8" w:rsidR="000771B9" w:rsidRPr="00B9325C" w:rsidRDefault="000771B9" w:rsidP="000771B9">
      <w:pPr>
        <w:jc w:val="center"/>
        <w:rPr>
          <w:rFonts w:cs="Times New Roman"/>
        </w:rPr>
      </w:pPr>
    </w:p>
    <w:p w14:paraId="0089380D" w14:textId="2B3808EA" w:rsidR="000771B9" w:rsidRPr="00B9325C" w:rsidRDefault="000771B9" w:rsidP="000771B9">
      <w:pPr>
        <w:jc w:val="center"/>
        <w:rPr>
          <w:rFonts w:cs="Times New Roman"/>
        </w:rPr>
      </w:pPr>
    </w:p>
    <w:p w14:paraId="1FBAC9B6" w14:textId="5BD8FBC8" w:rsidR="000771B9" w:rsidRPr="00B9325C" w:rsidRDefault="000771B9" w:rsidP="000771B9">
      <w:pPr>
        <w:jc w:val="center"/>
        <w:rPr>
          <w:rFonts w:cs="Times New Roman"/>
        </w:rPr>
      </w:pPr>
    </w:p>
    <w:p w14:paraId="6B42275A" w14:textId="41E414DF" w:rsidR="000771B9" w:rsidRPr="00B9325C" w:rsidRDefault="00232A6E" w:rsidP="000771B9">
      <w:pPr>
        <w:jc w:val="center"/>
        <w:rPr>
          <w:rFonts w:cs="Times New Roman"/>
        </w:rPr>
      </w:pPr>
      <w:r w:rsidRPr="00B9325C">
        <w:rPr>
          <w:rFonts w:cs="Times New Roman"/>
          <w:b/>
          <w:bCs/>
        </w:rPr>
        <w:t>Different EHRs: Hospital and Ambulatory</w:t>
      </w:r>
    </w:p>
    <w:p w14:paraId="660194EA" w14:textId="122F8B0E" w:rsidR="000771B9" w:rsidRPr="00B9325C" w:rsidRDefault="00232A6E" w:rsidP="000771B9">
      <w:pPr>
        <w:rPr>
          <w:rFonts w:cs="Times New Roman"/>
        </w:rPr>
      </w:pPr>
      <w:r w:rsidRPr="00B9325C">
        <w:rPr>
          <w:rFonts w:cs="Times New Roman"/>
        </w:rPr>
        <w:lastRenderedPageBreak/>
        <w:tab/>
      </w:r>
      <w:r w:rsidR="00FB6075" w:rsidRPr="00B9325C">
        <w:rPr>
          <w:rFonts w:cs="Times New Roman"/>
        </w:rPr>
        <w:t>A</w:t>
      </w:r>
      <w:r w:rsidRPr="00B9325C">
        <w:rPr>
          <w:rFonts w:cs="Times New Roman"/>
        </w:rPr>
        <w:t>mbula</w:t>
      </w:r>
      <w:r w:rsidR="00FB6075" w:rsidRPr="00B9325C">
        <w:rPr>
          <w:rFonts w:cs="Times New Roman"/>
        </w:rPr>
        <w:t xml:space="preserve">tory HER refers to outpatient care, while acute setting refers to inpatient care. An acute setting involves a medical facility in which patients remain under constant observation and care. An ambulatory setting takes different platforms, such as a nursing home or school, and mostly deals with non-emergency health </w:t>
      </w:r>
      <w:r w:rsidR="007B7B5B" w:rsidRPr="00B9325C">
        <w:rPr>
          <w:rFonts w:cs="Times New Roman"/>
        </w:rPr>
        <w:t>issues. Acute</w:t>
      </w:r>
      <w:r w:rsidR="00FB6075" w:rsidRPr="00B9325C">
        <w:rPr>
          <w:rFonts w:cs="Times New Roman"/>
        </w:rPr>
        <w:t xml:space="preserve"> environmental settings include areas such as </w:t>
      </w:r>
      <w:r w:rsidR="007B7B5B" w:rsidRPr="00B9325C">
        <w:rPr>
          <w:rFonts w:cs="Times New Roman"/>
        </w:rPr>
        <w:t>hospitals, cardiology</w:t>
      </w:r>
      <w:r w:rsidR="00FB6075" w:rsidRPr="00B9325C">
        <w:rPr>
          <w:rFonts w:cs="Times New Roman"/>
        </w:rPr>
        <w:t xml:space="preserve"> floors, </w:t>
      </w:r>
      <w:r w:rsidR="007B7B5B" w:rsidRPr="00B9325C">
        <w:rPr>
          <w:rFonts w:cs="Times New Roman"/>
        </w:rPr>
        <w:t>and intensive</w:t>
      </w:r>
      <w:r w:rsidR="00FB6075" w:rsidRPr="00B9325C">
        <w:rPr>
          <w:rFonts w:cs="Times New Roman"/>
        </w:rPr>
        <w:t xml:space="preserve"> care </w:t>
      </w:r>
      <w:r w:rsidR="007B7B5B" w:rsidRPr="00B9325C">
        <w:rPr>
          <w:rFonts w:cs="Times New Roman"/>
        </w:rPr>
        <w:t>units. Healthcare</w:t>
      </w:r>
      <w:r w:rsidR="00FB6075" w:rsidRPr="00B9325C">
        <w:rPr>
          <w:rFonts w:cs="Times New Roman"/>
        </w:rPr>
        <w:t xml:space="preserve"> personnel in such environments works on different schedules such as </w:t>
      </w:r>
      <w:r w:rsidR="007B7B5B" w:rsidRPr="00B9325C">
        <w:rPr>
          <w:rFonts w:cs="Times New Roman"/>
        </w:rPr>
        <w:t>holidays, weekends</w:t>
      </w:r>
      <w:r w:rsidR="00FB6075" w:rsidRPr="00B9325C">
        <w:rPr>
          <w:rFonts w:cs="Times New Roman"/>
        </w:rPr>
        <w:t xml:space="preserve">, and night </w:t>
      </w:r>
      <w:r w:rsidR="007B7B5B" w:rsidRPr="00B9325C">
        <w:rPr>
          <w:rFonts w:cs="Times New Roman"/>
        </w:rPr>
        <w:t>shifts. The</w:t>
      </w:r>
      <w:r w:rsidR="00FB6075" w:rsidRPr="00B9325C">
        <w:rPr>
          <w:rFonts w:cs="Times New Roman"/>
        </w:rPr>
        <w:t xml:space="preserve"> ambulatory care settings </w:t>
      </w:r>
      <w:r w:rsidR="007B7B5B" w:rsidRPr="00B9325C">
        <w:rPr>
          <w:rFonts w:cs="Times New Roman"/>
        </w:rPr>
        <w:t>involve</w:t>
      </w:r>
      <w:r w:rsidR="00FB6075" w:rsidRPr="00B9325C">
        <w:rPr>
          <w:rFonts w:cs="Times New Roman"/>
        </w:rPr>
        <w:t xml:space="preserve"> a more diverse </w:t>
      </w:r>
      <w:r w:rsidR="007B7B5B" w:rsidRPr="00B9325C">
        <w:rPr>
          <w:rFonts w:cs="Times New Roman"/>
        </w:rPr>
        <w:t>setting. The</w:t>
      </w:r>
      <w:r w:rsidR="00FB6075" w:rsidRPr="00B9325C">
        <w:rPr>
          <w:rFonts w:cs="Times New Roman"/>
        </w:rPr>
        <w:t xml:space="preserve"> healthcare personnel in </w:t>
      </w:r>
      <w:r w:rsidR="00792F03" w:rsidRPr="00B9325C">
        <w:rPr>
          <w:rFonts w:cs="Times New Roman"/>
        </w:rPr>
        <w:t xml:space="preserve">such a setting works in locations such as patients' </w:t>
      </w:r>
      <w:r w:rsidR="007B7B5B" w:rsidRPr="00B9325C">
        <w:rPr>
          <w:rFonts w:cs="Times New Roman"/>
        </w:rPr>
        <w:t>homes, schools, urgent</w:t>
      </w:r>
      <w:r w:rsidR="00792F03" w:rsidRPr="00B9325C">
        <w:rPr>
          <w:rFonts w:cs="Times New Roman"/>
        </w:rPr>
        <w:t xml:space="preserve"> care facilities, and clinics.</w:t>
      </w:r>
    </w:p>
    <w:p w14:paraId="0C1CD254" w14:textId="1E01235C" w:rsidR="00792F03" w:rsidRPr="00B9325C" w:rsidRDefault="00232A6E" w:rsidP="000771B9">
      <w:pPr>
        <w:rPr>
          <w:rFonts w:cs="Times New Roman"/>
        </w:rPr>
      </w:pPr>
      <w:r w:rsidRPr="00B9325C">
        <w:rPr>
          <w:rFonts w:cs="Times New Roman"/>
        </w:rPr>
        <w:tab/>
        <w:t xml:space="preserve">Outpatient and inpatient facilities operate distinctively, translating to diverse needs in terms of choosing an HER </w:t>
      </w:r>
      <w:r w:rsidR="007B7B5B" w:rsidRPr="00B9325C">
        <w:rPr>
          <w:rFonts w:cs="Times New Roman"/>
        </w:rPr>
        <w:t>platform. Both</w:t>
      </w:r>
      <w:r w:rsidRPr="00B9325C">
        <w:rPr>
          <w:rFonts w:cs="Times New Roman"/>
        </w:rPr>
        <w:t xml:space="preserve"> types of organizations have different challenges. In the ambulatory setting, an HER requires access to data from distinct labs and providers, whereas it is </w:t>
      </w:r>
      <w:r w:rsidR="007B7B5B" w:rsidRPr="00B9325C">
        <w:rPr>
          <w:rFonts w:cs="Times New Roman"/>
        </w:rPr>
        <w:t>mandatory</w:t>
      </w:r>
      <w:r w:rsidRPr="00B9325C">
        <w:rPr>
          <w:rFonts w:cs="Times New Roman"/>
        </w:rPr>
        <w:t xml:space="preserve"> for hospitals HER to </w:t>
      </w:r>
      <w:r w:rsidR="007B7B5B" w:rsidRPr="00B9325C">
        <w:rPr>
          <w:rFonts w:cs="Times New Roman"/>
        </w:rPr>
        <w:t>integrate</w:t>
      </w:r>
      <w:r w:rsidRPr="00B9325C">
        <w:rPr>
          <w:rFonts w:cs="Times New Roman"/>
        </w:rPr>
        <w:t xml:space="preserve"> with several </w:t>
      </w:r>
      <w:r w:rsidR="007B7B5B" w:rsidRPr="00B9325C">
        <w:rPr>
          <w:rFonts w:cs="Times New Roman"/>
        </w:rPr>
        <w:t>departments. During</w:t>
      </w:r>
      <w:r w:rsidRPr="00B9325C">
        <w:rPr>
          <w:rFonts w:cs="Times New Roman"/>
        </w:rPr>
        <w:t xml:space="preserve"> situations when hospitals look for an ideal EHR</w:t>
      </w:r>
      <w:r w:rsidR="00D16A67" w:rsidRPr="00B9325C">
        <w:rPr>
          <w:rFonts w:cs="Times New Roman"/>
        </w:rPr>
        <w:t xml:space="preserve">, their major concern is managing inpatient </w:t>
      </w:r>
      <w:r w:rsidR="007B7B5B" w:rsidRPr="00B9325C">
        <w:rPr>
          <w:rFonts w:cs="Times New Roman"/>
        </w:rPr>
        <w:t>data. The</w:t>
      </w:r>
      <w:r w:rsidR="00D16A67" w:rsidRPr="00B9325C">
        <w:rPr>
          <w:rFonts w:cs="Times New Roman"/>
        </w:rPr>
        <w:t xml:space="preserve"> data could be originating from different sources within the medical facility, including radiology and </w:t>
      </w:r>
      <w:r w:rsidR="007B7B5B" w:rsidRPr="00B9325C">
        <w:rPr>
          <w:rFonts w:cs="Times New Roman"/>
        </w:rPr>
        <w:t xml:space="preserve">labs. The </w:t>
      </w:r>
      <w:r w:rsidR="007B7B5B" w:rsidRPr="00B9325C">
        <w:rPr>
          <w:rFonts w:cs="Times New Roman"/>
          <w:szCs w:val="24"/>
        </w:rPr>
        <w:t>majority</w:t>
      </w:r>
      <w:r w:rsidR="00D16A67" w:rsidRPr="00B9325C">
        <w:rPr>
          <w:rFonts w:cs="Times New Roman"/>
          <w:szCs w:val="24"/>
        </w:rPr>
        <w:t xml:space="preserve"> of hospitals struggle with communication challenges</w:t>
      </w:r>
      <w:r w:rsidR="00B9325C" w:rsidRPr="00B9325C">
        <w:rPr>
          <w:rFonts w:cs="Times New Roman"/>
          <w:szCs w:val="24"/>
        </w:rPr>
        <w:t xml:space="preserve"> </w:t>
      </w:r>
      <w:r w:rsidR="00B9325C" w:rsidRPr="00B9325C">
        <w:rPr>
          <w:rFonts w:cs="Times New Roman"/>
          <w:szCs w:val="24"/>
          <w:shd w:val="clear" w:color="auto" w:fill="FFFFFF"/>
        </w:rPr>
        <w:t>(Wilson-VanMeter &amp; Courtney, 2019)</w:t>
      </w:r>
      <w:r w:rsidR="00D16A67" w:rsidRPr="00B9325C">
        <w:rPr>
          <w:rFonts w:cs="Times New Roman"/>
          <w:szCs w:val="24"/>
        </w:rPr>
        <w:t>.</w:t>
      </w:r>
    </w:p>
    <w:p w14:paraId="50ECF937" w14:textId="4B911A54" w:rsidR="00D16A67" w:rsidRPr="00B9325C" w:rsidRDefault="00232A6E" w:rsidP="000771B9">
      <w:pPr>
        <w:rPr>
          <w:rFonts w:cs="Times New Roman"/>
        </w:rPr>
      </w:pPr>
      <w:r w:rsidRPr="00B9325C">
        <w:rPr>
          <w:rFonts w:cs="Times New Roman"/>
        </w:rPr>
        <w:tab/>
        <w:t xml:space="preserve">An ambulatory HER is utilized in outpatient medical practices and </w:t>
      </w:r>
      <w:r w:rsidR="007B7B5B" w:rsidRPr="00B9325C">
        <w:rPr>
          <w:rFonts w:cs="Times New Roman"/>
        </w:rPr>
        <w:t>settings. The</w:t>
      </w:r>
      <w:r w:rsidRPr="00B9325C">
        <w:rPr>
          <w:rFonts w:cs="Times New Roman"/>
        </w:rPr>
        <w:t xml:space="preserve"> primary goal of ambulatory HER is to be the administrator of patients’ medical </w:t>
      </w:r>
      <w:r w:rsidR="007B7B5B" w:rsidRPr="00B9325C">
        <w:rPr>
          <w:rFonts w:cs="Times New Roman"/>
        </w:rPr>
        <w:t>history. Unlike</w:t>
      </w:r>
      <w:r w:rsidRPr="00B9325C">
        <w:rPr>
          <w:rFonts w:cs="Times New Roman"/>
        </w:rPr>
        <w:t xml:space="preserve"> hospital EHR, ambulatory EHR is less </w:t>
      </w:r>
      <w:r w:rsidR="007B7B5B" w:rsidRPr="00B9325C">
        <w:rPr>
          <w:rFonts w:cs="Times New Roman"/>
        </w:rPr>
        <w:t>complex. This</w:t>
      </w:r>
      <w:r w:rsidRPr="00B9325C">
        <w:rPr>
          <w:rFonts w:cs="Times New Roman"/>
        </w:rPr>
        <w:t xml:space="preserve"> type of EHR enables medical personnel to track clients' treatment and medical </w:t>
      </w:r>
      <w:r w:rsidR="007B7B5B" w:rsidRPr="00B9325C">
        <w:rPr>
          <w:rFonts w:cs="Times New Roman"/>
        </w:rPr>
        <w:t>history, providing</w:t>
      </w:r>
      <w:r w:rsidRPr="00B9325C">
        <w:rPr>
          <w:rFonts w:cs="Times New Roman"/>
        </w:rPr>
        <w:t xml:space="preserve"> a detailed picture of patients’ </w:t>
      </w:r>
      <w:r w:rsidR="007B7B5B" w:rsidRPr="00B9325C">
        <w:rPr>
          <w:rFonts w:cs="Times New Roman"/>
        </w:rPr>
        <w:t>health, usually</w:t>
      </w:r>
      <w:r w:rsidRPr="00B9325C">
        <w:rPr>
          <w:rFonts w:cs="Times New Roman"/>
        </w:rPr>
        <w:t xml:space="preserve"> assisting with effective diagnosis and treatment of chronic </w:t>
      </w:r>
      <w:r w:rsidR="007B7B5B" w:rsidRPr="00B9325C">
        <w:rPr>
          <w:rFonts w:cs="Times New Roman"/>
        </w:rPr>
        <w:t>illness. Since</w:t>
      </w:r>
      <w:r w:rsidRPr="00B9325C">
        <w:rPr>
          <w:rFonts w:cs="Times New Roman"/>
        </w:rPr>
        <w:t xml:space="preserve"> the hospital and ambulatory EHR works distincti</w:t>
      </w:r>
      <w:r w:rsidR="007B7B5B" w:rsidRPr="00B9325C">
        <w:rPr>
          <w:rFonts w:cs="Times New Roman"/>
        </w:rPr>
        <w:t xml:space="preserve">vely, they also have dissimilar certification criteria. Ambulatory EHR certification focuses on patient-centric features such as timely access, clinical summaries, patient reminders, and eprisciribing. Hospital EHR focuses on medical and order management, </w:t>
      </w:r>
      <w:r w:rsidR="007B7B5B" w:rsidRPr="00B9325C">
        <w:rPr>
          <w:rFonts w:cs="Times New Roman"/>
        </w:rPr>
        <w:lastRenderedPageBreak/>
        <w:t xml:space="preserve">requiring </w:t>
      </w:r>
      <w:r w:rsidR="007B7B5B" w:rsidRPr="00B9325C">
        <w:rPr>
          <w:rFonts w:cs="Times New Roman"/>
          <w:szCs w:val="24"/>
        </w:rPr>
        <w:t>medication reconciliation and electronic medication administration records for certification competencies</w:t>
      </w:r>
      <w:r w:rsidR="00B9325C" w:rsidRPr="00B9325C">
        <w:rPr>
          <w:rFonts w:cs="Times New Roman"/>
          <w:szCs w:val="24"/>
        </w:rPr>
        <w:t xml:space="preserve"> </w:t>
      </w:r>
      <w:r w:rsidR="00B9325C" w:rsidRPr="00B9325C">
        <w:rPr>
          <w:rFonts w:cs="Times New Roman"/>
          <w:szCs w:val="24"/>
          <w:shd w:val="clear" w:color="auto" w:fill="FFFFFF"/>
        </w:rPr>
        <w:t>(</w:t>
      </w:r>
      <w:proofErr w:type="spellStart"/>
      <w:r w:rsidR="00B9325C" w:rsidRPr="00B9325C">
        <w:rPr>
          <w:rFonts w:cs="Times New Roman"/>
          <w:szCs w:val="24"/>
          <w:shd w:val="clear" w:color="auto" w:fill="FFFFFF"/>
        </w:rPr>
        <w:t>Hellems</w:t>
      </w:r>
      <w:proofErr w:type="spellEnd"/>
      <w:r w:rsidR="00B9325C" w:rsidRPr="00B9325C">
        <w:rPr>
          <w:rFonts w:cs="Times New Roman"/>
          <w:szCs w:val="24"/>
          <w:shd w:val="clear" w:color="auto" w:fill="FFFFFF"/>
        </w:rPr>
        <w:t>, 2021)</w:t>
      </w:r>
      <w:r w:rsidR="007B7B5B" w:rsidRPr="00B9325C">
        <w:rPr>
          <w:rFonts w:cs="Times New Roman"/>
          <w:szCs w:val="24"/>
        </w:rPr>
        <w:t>.</w:t>
      </w:r>
    </w:p>
    <w:p w14:paraId="2E4013BE" w14:textId="3053ED15" w:rsidR="000771B9" w:rsidRPr="00B9325C" w:rsidRDefault="000771B9" w:rsidP="000771B9">
      <w:pPr>
        <w:jc w:val="center"/>
        <w:rPr>
          <w:rFonts w:cs="Times New Roman"/>
        </w:rPr>
      </w:pPr>
    </w:p>
    <w:p w14:paraId="1EBB1CE4" w14:textId="0B501DA4" w:rsidR="00B9325C" w:rsidRPr="00B9325C" w:rsidRDefault="00B9325C" w:rsidP="000771B9">
      <w:pPr>
        <w:jc w:val="center"/>
        <w:rPr>
          <w:rFonts w:cs="Times New Roman"/>
        </w:rPr>
      </w:pPr>
    </w:p>
    <w:p w14:paraId="1B8DC2A5" w14:textId="2870F1E9" w:rsidR="00B9325C" w:rsidRPr="00B9325C" w:rsidRDefault="00B9325C" w:rsidP="000771B9">
      <w:pPr>
        <w:jc w:val="center"/>
        <w:rPr>
          <w:rFonts w:cs="Times New Roman"/>
        </w:rPr>
      </w:pPr>
    </w:p>
    <w:p w14:paraId="0FFD3371" w14:textId="7FAB2793" w:rsidR="00B9325C" w:rsidRPr="00B9325C" w:rsidRDefault="00B9325C" w:rsidP="000771B9">
      <w:pPr>
        <w:jc w:val="center"/>
        <w:rPr>
          <w:rFonts w:cs="Times New Roman"/>
        </w:rPr>
      </w:pPr>
    </w:p>
    <w:p w14:paraId="641A3513" w14:textId="5C7311B6" w:rsidR="00B9325C" w:rsidRPr="00B9325C" w:rsidRDefault="00B9325C" w:rsidP="000771B9">
      <w:pPr>
        <w:jc w:val="center"/>
        <w:rPr>
          <w:rFonts w:cs="Times New Roman"/>
        </w:rPr>
      </w:pPr>
    </w:p>
    <w:p w14:paraId="457B5DF7" w14:textId="28D0A752" w:rsidR="00B9325C" w:rsidRPr="00B9325C" w:rsidRDefault="00B9325C" w:rsidP="000771B9">
      <w:pPr>
        <w:jc w:val="center"/>
        <w:rPr>
          <w:rFonts w:cs="Times New Roman"/>
        </w:rPr>
      </w:pPr>
    </w:p>
    <w:p w14:paraId="67AFBF6A" w14:textId="5C4F4269" w:rsidR="00B9325C" w:rsidRPr="00B9325C" w:rsidRDefault="00B9325C" w:rsidP="000771B9">
      <w:pPr>
        <w:jc w:val="center"/>
        <w:rPr>
          <w:rFonts w:cs="Times New Roman"/>
        </w:rPr>
      </w:pPr>
    </w:p>
    <w:p w14:paraId="67B3AE7A" w14:textId="73397395" w:rsidR="00B9325C" w:rsidRPr="00B9325C" w:rsidRDefault="00B9325C" w:rsidP="000771B9">
      <w:pPr>
        <w:jc w:val="center"/>
        <w:rPr>
          <w:rFonts w:cs="Times New Roman"/>
        </w:rPr>
      </w:pPr>
    </w:p>
    <w:p w14:paraId="7E13FF3B" w14:textId="60336E0C" w:rsidR="00B9325C" w:rsidRPr="00B9325C" w:rsidRDefault="00B9325C" w:rsidP="000771B9">
      <w:pPr>
        <w:jc w:val="center"/>
        <w:rPr>
          <w:rFonts w:cs="Times New Roman"/>
        </w:rPr>
      </w:pPr>
    </w:p>
    <w:p w14:paraId="3011A6B1" w14:textId="30349018" w:rsidR="00B9325C" w:rsidRPr="00B9325C" w:rsidRDefault="00B9325C" w:rsidP="000771B9">
      <w:pPr>
        <w:jc w:val="center"/>
        <w:rPr>
          <w:rFonts w:cs="Times New Roman"/>
        </w:rPr>
      </w:pPr>
    </w:p>
    <w:p w14:paraId="6B88C09B" w14:textId="7851FCFB" w:rsidR="00B9325C" w:rsidRPr="00B9325C" w:rsidRDefault="00B9325C" w:rsidP="000771B9">
      <w:pPr>
        <w:jc w:val="center"/>
        <w:rPr>
          <w:rFonts w:cs="Times New Roman"/>
        </w:rPr>
      </w:pPr>
    </w:p>
    <w:p w14:paraId="7C6320FE" w14:textId="01F59B33" w:rsidR="00B9325C" w:rsidRPr="00B9325C" w:rsidRDefault="00B9325C" w:rsidP="000771B9">
      <w:pPr>
        <w:jc w:val="center"/>
        <w:rPr>
          <w:rFonts w:cs="Times New Roman"/>
        </w:rPr>
      </w:pPr>
    </w:p>
    <w:p w14:paraId="464FAECC" w14:textId="79F19596" w:rsidR="00B9325C" w:rsidRPr="00B9325C" w:rsidRDefault="00B9325C" w:rsidP="000771B9">
      <w:pPr>
        <w:jc w:val="center"/>
        <w:rPr>
          <w:rFonts w:cs="Times New Roman"/>
        </w:rPr>
      </w:pPr>
    </w:p>
    <w:p w14:paraId="4404854A" w14:textId="7C7A5400" w:rsidR="00B9325C" w:rsidRPr="00B9325C" w:rsidRDefault="00B9325C" w:rsidP="000771B9">
      <w:pPr>
        <w:jc w:val="center"/>
        <w:rPr>
          <w:rFonts w:cs="Times New Roman"/>
        </w:rPr>
      </w:pPr>
    </w:p>
    <w:p w14:paraId="7BF58852" w14:textId="157BA99A" w:rsidR="00B9325C" w:rsidRPr="00B9325C" w:rsidRDefault="00B9325C" w:rsidP="000771B9">
      <w:pPr>
        <w:jc w:val="center"/>
        <w:rPr>
          <w:rFonts w:cs="Times New Roman"/>
        </w:rPr>
      </w:pPr>
    </w:p>
    <w:p w14:paraId="44263D81" w14:textId="0A125F6C" w:rsidR="00B9325C" w:rsidRPr="00B9325C" w:rsidRDefault="00B9325C" w:rsidP="000771B9">
      <w:pPr>
        <w:jc w:val="center"/>
        <w:rPr>
          <w:rFonts w:cs="Times New Roman"/>
        </w:rPr>
      </w:pPr>
    </w:p>
    <w:p w14:paraId="7DE378BD" w14:textId="1A9BE7F1" w:rsidR="00B9325C" w:rsidRPr="00B9325C" w:rsidRDefault="00B9325C" w:rsidP="000771B9">
      <w:pPr>
        <w:jc w:val="center"/>
        <w:rPr>
          <w:rFonts w:cs="Times New Roman"/>
        </w:rPr>
      </w:pPr>
    </w:p>
    <w:p w14:paraId="6A1DD700" w14:textId="15CDFBA9" w:rsidR="00B9325C" w:rsidRPr="00B9325C" w:rsidRDefault="00B9325C" w:rsidP="000771B9">
      <w:pPr>
        <w:jc w:val="center"/>
        <w:rPr>
          <w:rFonts w:cs="Times New Roman"/>
        </w:rPr>
      </w:pPr>
    </w:p>
    <w:p w14:paraId="1A3C4203" w14:textId="14BD28BC" w:rsidR="00B9325C" w:rsidRPr="00B9325C" w:rsidRDefault="00B9325C" w:rsidP="000771B9">
      <w:pPr>
        <w:jc w:val="center"/>
        <w:rPr>
          <w:rFonts w:cs="Times New Roman"/>
        </w:rPr>
      </w:pPr>
    </w:p>
    <w:p w14:paraId="18B5065A" w14:textId="77777777" w:rsidR="00B9325C" w:rsidRPr="00B9325C" w:rsidRDefault="00B9325C" w:rsidP="00B9325C">
      <w:pPr>
        <w:shd w:val="clear" w:color="auto" w:fill="FFFFFF"/>
        <w:spacing w:line="240" w:lineRule="auto"/>
        <w:jc w:val="center"/>
        <w:rPr>
          <w:rFonts w:eastAsia="Times New Roman" w:cs="Times New Roman"/>
          <w:szCs w:val="24"/>
        </w:rPr>
      </w:pPr>
      <w:r w:rsidRPr="00B9325C">
        <w:rPr>
          <w:rFonts w:eastAsia="Times New Roman" w:cs="Times New Roman"/>
          <w:szCs w:val="24"/>
        </w:rPr>
        <w:t>References</w:t>
      </w:r>
    </w:p>
    <w:p w14:paraId="73C15DDE" w14:textId="77777777" w:rsidR="00B9325C" w:rsidRPr="00B9325C" w:rsidRDefault="00B9325C" w:rsidP="00B9325C">
      <w:pPr>
        <w:shd w:val="clear" w:color="auto" w:fill="FFFFFF"/>
        <w:spacing w:line="550" w:lineRule="atLeast"/>
        <w:ind w:left="720" w:right="75" w:hanging="720"/>
        <w:rPr>
          <w:rFonts w:eastAsia="Times New Roman" w:cs="Times New Roman"/>
          <w:szCs w:val="24"/>
        </w:rPr>
      </w:pPr>
      <w:proofErr w:type="spellStart"/>
      <w:r w:rsidRPr="00B9325C">
        <w:rPr>
          <w:rFonts w:eastAsia="Times New Roman" w:cs="Times New Roman"/>
          <w:szCs w:val="24"/>
        </w:rPr>
        <w:t>Hellems</w:t>
      </w:r>
      <w:proofErr w:type="spellEnd"/>
      <w:r w:rsidRPr="00B9325C">
        <w:rPr>
          <w:rFonts w:eastAsia="Times New Roman" w:cs="Times New Roman"/>
          <w:szCs w:val="24"/>
        </w:rPr>
        <w:t>, M. A. (2021). Ambulatory physicians’ electronic health record self-efficacy. </w:t>
      </w:r>
      <w:r w:rsidRPr="00B9325C">
        <w:rPr>
          <w:rFonts w:eastAsia="Times New Roman" w:cs="Times New Roman"/>
          <w:i/>
          <w:iCs/>
          <w:szCs w:val="24"/>
        </w:rPr>
        <w:t>JAMIA Open</w:t>
      </w:r>
      <w:r w:rsidRPr="00B9325C">
        <w:rPr>
          <w:rFonts w:eastAsia="Times New Roman" w:cs="Times New Roman"/>
          <w:szCs w:val="24"/>
        </w:rPr>
        <w:t>. </w:t>
      </w:r>
      <w:hyperlink r:id="rId6" w:history="1">
        <w:r w:rsidRPr="00B9325C">
          <w:rPr>
            <w:rFonts w:eastAsia="Times New Roman" w:cs="Times New Roman"/>
            <w:szCs w:val="24"/>
            <w:u w:val="single"/>
          </w:rPr>
          <w:t>https://doi.org/10.1093/jamiaopen/ooaa071</w:t>
        </w:r>
      </w:hyperlink>
    </w:p>
    <w:p w14:paraId="5C3B102C" w14:textId="77777777" w:rsidR="00B9325C" w:rsidRPr="00B9325C" w:rsidRDefault="00B9325C" w:rsidP="00B9325C">
      <w:pPr>
        <w:shd w:val="clear" w:color="auto" w:fill="FFFFFF"/>
        <w:spacing w:line="550" w:lineRule="atLeast"/>
        <w:ind w:left="720" w:right="75" w:hanging="720"/>
        <w:rPr>
          <w:rFonts w:eastAsia="Times New Roman" w:cs="Times New Roman"/>
          <w:szCs w:val="24"/>
        </w:rPr>
      </w:pPr>
      <w:r w:rsidRPr="00B9325C">
        <w:rPr>
          <w:rFonts w:eastAsia="Times New Roman" w:cs="Times New Roman"/>
          <w:szCs w:val="24"/>
        </w:rPr>
        <w:lastRenderedPageBreak/>
        <w:t>Wilson-VanMeter, A., &amp; Courtney, L. (2019). The electronic health record, electronic medical record, and personal health record. </w:t>
      </w:r>
      <w:r w:rsidRPr="00B9325C">
        <w:rPr>
          <w:rFonts w:eastAsia="Times New Roman" w:cs="Times New Roman"/>
          <w:i/>
          <w:iCs/>
          <w:szCs w:val="24"/>
        </w:rPr>
        <w:t>Fast Facts in Health Informatics for Nurses</w:t>
      </w:r>
      <w:r w:rsidRPr="00B9325C">
        <w:rPr>
          <w:rFonts w:eastAsia="Times New Roman" w:cs="Times New Roman"/>
          <w:szCs w:val="24"/>
        </w:rPr>
        <w:t>. </w:t>
      </w:r>
      <w:hyperlink r:id="rId7" w:history="1">
        <w:r w:rsidRPr="00B9325C">
          <w:rPr>
            <w:rFonts w:eastAsia="Times New Roman" w:cs="Times New Roman"/>
            <w:szCs w:val="24"/>
            <w:u w:val="single"/>
          </w:rPr>
          <w:t>https://doi.org/10.1891/9780826142269.0006</w:t>
        </w:r>
      </w:hyperlink>
    </w:p>
    <w:p w14:paraId="37D07E40" w14:textId="77777777" w:rsidR="00B9325C" w:rsidRPr="00B9325C" w:rsidRDefault="00B9325C" w:rsidP="000771B9">
      <w:pPr>
        <w:jc w:val="center"/>
        <w:rPr>
          <w:rFonts w:cs="Times New Roman"/>
        </w:rPr>
      </w:pPr>
    </w:p>
    <w:sectPr w:rsidR="00B9325C" w:rsidRPr="00B9325C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544BC24" w14:textId="77777777" w:rsidR="00232A6E" w:rsidRDefault="00232A6E">
      <w:pPr>
        <w:spacing w:line="240" w:lineRule="auto"/>
      </w:pPr>
      <w:r>
        <w:separator/>
      </w:r>
    </w:p>
  </w:endnote>
  <w:endnote w:type="continuationSeparator" w:id="0">
    <w:p w14:paraId="44F199CD" w14:textId="77777777" w:rsidR="00232A6E" w:rsidRDefault="00232A6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921F464" w14:textId="77777777" w:rsidR="00232A6E" w:rsidRDefault="00232A6E">
      <w:pPr>
        <w:spacing w:line="240" w:lineRule="auto"/>
      </w:pPr>
      <w:r>
        <w:separator/>
      </w:r>
    </w:p>
  </w:footnote>
  <w:footnote w:type="continuationSeparator" w:id="0">
    <w:p w14:paraId="3FF42775" w14:textId="77777777" w:rsidR="00232A6E" w:rsidRDefault="00232A6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592744670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7DBA7F6" w14:textId="4095C8F5" w:rsidR="000771B9" w:rsidRDefault="00232A6E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026B34B" w14:textId="77777777" w:rsidR="000771B9" w:rsidRDefault="000771B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3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71B9"/>
    <w:rsid w:val="0005227D"/>
    <w:rsid w:val="000771B9"/>
    <w:rsid w:val="001C4CD1"/>
    <w:rsid w:val="001C63B8"/>
    <w:rsid w:val="00232A6E"/>
    <w:rsid w:val="00264955"/>
    <w:rsid w:val="002853EC"/>
    <w:rsid w:val="00323F97"/>
    <w:rsid w:val="00792F03"/>
    <w:rsid w:val="007A3E1E"/>
    <w:rsid w:val="007B7B5B"/>
    <w:rsid w:val="008E2C11"/>
    <w:rsid w:val="009C3B55"/>
    <w:rsid w:val="00B00F3D"/>
    <w:rsid w:val="00B9325C"/>
    <w:rsid w:val="00BE0B2F"/>
    <w:rsid w:val="00BE2972"/>
    <w:rsid w:val="00CA212C"/>
    <w:rsid w:val="00D16A67"/>
    <w:rsid w:val="00F0164C"/>
    <w:rsid w:val="00FB6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326F7D"/>
  <w15:chartTrackingRefBased/>
  <w15:docId w15:val="{1EAE9A31-C695-4117-BF4B-09A024F0B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771B9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71B9"/>
  </w:style>
  <w:style w:type="paragraph" w:styleId="Footer">
    <w:name w:val="footer"/>
    <w:basedOn w:val="Normal"/>
    <w:link w:val="FooterChar"/>
    <w:uiPriority w:val="99"/>
    <w:unhideWhenUsed/>
    <w:rsid w:val="000771B9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71B9"/>
  </w:style>
  <w:style w:type="paragraph" w:styleId="NormalWeb">
    <w:name w:val="Normal (Web)"/>
    <w:basedOn w:val="Normal"/>
    <w:uiPriority w:val="99"/>
    <w:semiHidden/>
    <w:unhideWhenUsed/>
    <w:rsid w:val="00B9325C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character" w:styleId="Emphasis">
    <w:name w:val="Emphasis"/>
    <w:basedOn w:val="DefaultParagraphFont"/>
    <w:uiPriority w:val="20"/>
    <w:qFormat/>
    <w:rsid w:val="00B9325C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B9325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1097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webSettings" Target="webSettings.xml" /><Relationship Id="rId7" Type="http://schemas.openxmlformats.org/officeDocument/2006/relationships/hyperlink" Target="https://doi.org/10.1891/9780826142269.0006" TargetMode="Externa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hyperlink" Target="https://doi.org/10.1093/jamiaopen/ooaa071" TargetMode="External" /><Relationship Id="rId5" Type="http://schemas.openxmlformats.org/officeDocument/2006/relationships/endnotes" Target="endnotes.xml" /><Relationship Id="rId10" Type="http://schemas.openxmlformats.org/officeDocument/2006/relationships/theme" Target="theme/theme1.xml" /><Relationship Id="rId4" Type="http://schemas.openxmlformats.org/officeDocument/2006/relationships/footnotes" Target="footnotes.xml" /><Relationship Id="rId9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437</Words>
  <Characters>2492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haron wanyoike</dc:creator>
  <cp:lastModifiedBy>nyoike31@gmail.com</cp:lastModifiedBy>
  <cp:revision>2</cp:revision>
  <dcterms:created xsi:type="dcterms:W3CDTF">2021-08-29T09:57:00Z</dcterms:created>
  <dcterms:modified xsi:type="dcterms:W3CDTF">2021-08-29T09:57:00Z</dcterms:modified>
</cp:coreProperties>
</file>